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4A1F" w14:textId="7777777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47798C9" w14:textId="77777777" w:rsidTr="00AE45AD">
        <w:trPr>
          <w:trHeight w:val="269"/>
        </w:trPr>
        <w:tc>
          <w:tcPr>
            <w:tcW w:w="9350" w:type="dxa"/>
            <w:shd w:val="clear" w:color="auto" w:fill="auto"/>
          </w:tcPr>
          <w:p w14:paraId="5EE43950" w14:textId="4FA59557"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475306">
              <w:rPr>
                <w:rFonts w:ascii="Calibri" w:eastAsia="Calibri" w:hAnsi="Calibri" w:cs="Calibri"/>
                <w:b/>
                <w:bCs/>
                <w:sz w:val="22"/>
                <w:szCs w:val="22"/>
              </w:rPr>
              <w:t>Reverse New FSA Emergency Conservation Program Rules on Fencing</w:t>
            </w:r>
          </w:p>
        </w:tc>
      </w:tr>
    </w:tbl>
    <w:p w14:paraId="2B2D585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5C8011BA" w14:textId="77777777" w:rsidTr="00AE45AD">
        <w:trPr>
          <w:trHeight w:val="278"/>
        </w:trPr>
        <w:tc>
          <w:tcPr>
            <w:tcW w:w="9350" w:type="dxa"/>
            <w:shd w:val="clear" w:color="auto" w:fill="auto"/>
          </w:tcPr>
          <w:p w14:paraId="05A31598" w14:textId="06FF3D1D"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475306">
              <w:rPr>
                <w:rFonts w:ascii="Calibri" w:eastAsia="Calibri" w:hAnsi="Calibri" w:cs="Calibri"/>
                <w:b/>
                <w:bCs/>
                <w:sz w:val="22"/>
                <w:szCs w:val="22"/>
              </w:rPr>
              <w:t xml:space="preserve"> Okanogan</w:t>
            </w:r>
          </w:p>
        </w:tc>
      </w:tr>
    </w:tbl>
    <w:p w14:paraId="3834FE8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2F612B1C" w14:textId="77777777" w:rsidTr="00AE45AD">
        <w:trPr>
          <w:trHeight w:val="296"/>
        </w:trPr>
        <w:tc>
          <w:tcPr>
            <w:tcW w:w="9350" w:type="dxa"/>
            <w:shd w:val="clear" w:color="auto" w:fill="auto"/>
          </w:tcPr>
          <w:p w14:paraId="6415B22C" w14:textId="4F6BE735"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00475306">
              <w:rPr>
                <w:rFonts w:ascii="Calibri" w:eastAsia="Calibri" w:hAnsi="Calibri" w:cs="Calibri"/>
                <w:sz w:val="22"/>
                <w:szCs w:val="22"/>
              </w:rPr>
              <w:sym w:font="Wingdings" w:char="F078"/>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DBFA4F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97B5F07" w14:textId="77777777" w:rsidTr="00AE45AD">
        <w:trPr>
          <w:trHeight w:val="1394"/>
        </w:trPr>
        <w:tc>
          <w:tcPr>
            <w:tcW w:w="9350" w:type="dxa"/>
            <w:shd w:val="clear" w:color="auto" w:fill="auto"/>
          </w:tcPr>
          <w:p w14:paraId="7C278E3C"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4888817" w14:textId="594A5F77" w:rsidR="00783D1F" w:rsidRPr="00471D2F" w:rsidRDefault="00494C4F"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54D98A3C" w14:textId="173D77C7" w:rsidR="00783D1F" w:rsidRPr="00471D2F" w:rsidRDefault="00494C4F"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p>
          <w:p w14:paraId="3898FC4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0124F5C"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4CF96AE1"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0278EE3" w14:textId="77777777" w:rsidTr="00AE45AD">
        <w:trPr>
          <w:trHeight w:val="1979"/>
        </w:trPr>
        <w:tc>
          <w:tcPr>
            <w:tcW w:w="9350" w:type="dxa"/>
            <w:shd w:val="clear" w:color="auto" w:fill="auto"/>
          </w:tcPr>
          <w:p w14:paraId="178623B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1013EAA3" w14:textId="4A14D2F4" w:rsidR="00783D1F" w:rsidRPr="00471D2F" w:rsidRDefault="00475306"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671D1E91"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632A991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743FB6D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4B56F5E8" w14:textId="411A8424" w:rsidR="00783D1F" w:rsidRPr="00471D2F" w:rsidRDefault="0047530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NACD</w:t>
            </w:r>
          </w:p>
          <w:p w14:paraId="622492FB" w14:textId="3C3546E1" w:rsidR="00783D1F" w:rsidRPr="00AE45AD" w:rsidRDefault="00475306" w:rsidP="00AE45AD">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NON-STATE/FEDERAL PARTNER </w:t>
            </w:r>
            <w:r w:rsidR="00783D1F" w:rsidRPr="00471D2F">
              <w:rPr>
                <w:rFonts w:ascii="Calibri" w:eastAsia="Calibri" w:hAnsi="Calibri" w:cs="Calibri"/>
                <w:b/>
                <w:bCs/>
                <w:sz w:val="22"/>
                <w:szCs w:val="22"/>
              </w:rPr>
              <w:tab/>
              <w:t>__</w:t>
            </w:r>
            <w:r w:rsidRPr="00475306">
              <w:rPr>
                <w:rFonts w:ascii="Calibri" w:eastAsia="Calibri" w:hAnsi="Calibri" w:cs="Calibri"/>
                <w:b/>
                <w:bCs/>
                <w:sz w:val="22"/>
                <w:szCs w:val="22"/>
                <w:u w:val="single"/>
              </w:rPr>
              <w:t>USDA-Farm Service Agency</w:t>
            </w:r>
            <w:r w:rsidR="00783D1F" w:rsidRPr="00471D2F">
              <w:rPr>
                <w:rFonts w:ascii="Calibri" w:eastAsia="Calibri" w:hAnsi="Calibri" w:cs="Calibri"/>
                <w:b/>
                <w:bCs/>
                <w:sz w:val="22"/>
                <w:szCs w:val="22"/>
              </w:rPr>
              <w:t>____</w:t>
            </w:r>
          </w:p>
        </w:tc>
      </w:tr>
    </w:tbl>
    <w:p w14:paraId="78A15CE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537F719A" w14:textId="77777777" w:rsidTr="00CA6F76">
        <w:tc>
          <w:tcPr>
            <w:tcW w:w="9350" w:type="dxa"/>
            <w:shd w:val="clear" w:color="auto" w:fill="auto"/>
          </w:tcPr>
          <w:p w14:paraId="6176CE5B"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BACKGROUND/PROBLEM STATEMENT:</w:t>
            </w:r>
          </w:p>
          <w:p w14:paraId="47DAE5B9" w14:textId="77777777" w:rsidR="00EB1987" w:rsidRDefault="00475306"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The USDA – Farm Service Agency amended the rules regarding cost-share for fence repair and replacement in their Emergency Conservation Program.  </w:t>
            </w:r>
            <w:r w:rsidR="00166CDD">
              <w:rPr>
                <w:rFonts w:ascii="Calibri" w:eastAsia="Calibri" w:hAnsi="Calibri" w:cs="Calibri"/>
                <w:bCs/>
                <w:sz w:val="22"/>
                <w:szCs w:val="22"/>
              </w:rPr>
              <w:t xml:space="preserve">Three rule changes are causing </w:t>
            </w:r>
            <w:r w:rsidR="000C6DF0">
              <w:rPr>
                <w:rFonts w:ascii="Calibri" w:eastAsia="Calibri" w:hAnsi="Calibri" w:cs="Calibri"/>
                <w:bCs/>
                <w:sz w:val="22"/>
                <w:szCs w:val="22"/>
              </w:rPr>
              <w:t>considerable problems for producers.</w:t>
            </w:r>
          </w:p>
          <w:p w14:paraId="046098AC" w14:textId="77777777" w:rsidR="000C6DF0" w:rsidRDefault="000C6DF0" w:rsidP="00783D1F">
            <w:pPr>
              <w:spacing w:after="160" w:line="259" w:lineRule="auto"/>
              <w:rPr>
                <w:rFonts w:ascii="Calibri" w:eastAsia="Calibri" w:hAnsi="Calibri" w:cs="Calibri"/>
                <w:bCs/>
                <w:sz w:val="22"/>
                <w:szCs w:val="22"/>
              </w:rPr>
            </w:pPr>
            <w:r>
              <w:rPr>
                <w:rFonts w:ascii="Calibri" w:eastAsia="Calibri" w:hAnsi="Calibri" w:cs="Calibri"/>
                <w:bCs/>
                <w:sz w:val="22"/>
                <w:szCs w:val="22"/>
              </w:rPr>
              <w:t>Under new program rules, fences must be completely replaced while formerly producers could repair fences and utilize material that wasn’t damaged by the disaster.  Often in fast moving grass fires the lowest one or two wires will be damaged to the point they lose their tensile strength, and they must be replaced.  However, upper wires and steel fence posts often receive so little heat their ability to provide appropriate strength qualities remain.</w:t>
            </w:r>
          </w:p>
          <w:p w14:paraId="7E54EF33" w14:textId="77777777" w:rsidR="000C6DF0" w:rsidRDefault="000C6DF0"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Secondly, the </w:t>
            </w:r>
            <w:r w:rsidR="006A2EF6">
              <w:rPr>
                <w:rFonts w:ascii="Calibri" w:eastAsia="Calibri" w:hAnsi="Calibri" w:cs="Calibri"/>
                <w:bCs/>
                <w:sz w:val="22"/>
                <w:szCs w:val="22"/>
              </w:rPr>
              <w:t>rules no long</w:t>
            </w:r>
            <w:r w:rsidR="00701396">
              <w:rPr>
                <w:rFonts w:ascii="Calibri" w:eastAsia="Calibri" w:hAnsi="Calibri" w:cs="Calibri"/>
                <w:bCs/>
                <w:sz w:val="22"/>
                <w:szCs w:val="22"/>
              </w:rPr>
              <w:t>er</w:t>
            </w:r>
            <w:r w:rsidR="006A2EF6">
              <w:rPr>
                <w:rFonts w:ascii="Calibri" w:eastAsia="Calibri" w:hAnsi="Calibri" w:cs="Calibri"/>
                <w:bCs/>
                <w:sz w:val="22"/>
                <w:szCs w:val="22"/>
              </w:rPr>
              <w:t xml:space="preserve"> allow producers who lease federal or state managed lands </w:t>
            </w:r>
            <w:r w:rsidR="00701396">
              <w:rPr>
                <w:rFonts w:ascii="Calibri" w:eastAsia="Calibri" w:hAnsi="Calibri" w:cs="Calibri"/>
                <w:bCs/>
                <w:sz w:val="22"/>
                <w:szCs w:val="22"/>
              </w:rPr>
              <w:t>to apply for Emergency Conservation Program assistance for projects on the public lands.  This means the producer will not be able to utilize their lease after an appropriate post-disaster rest period because public agencies universally require pasture fencing to control grazing animals.  Prior to the rule change, producers would be able to get paid a percentage of the cost to replace a public resource because most agencies don’t have the budget to replace these fences when they are damaged or lost due to disasters.</w:t>
            </w:r>
          </w:p>
          <w:p w14:paraId="25D76662" w14:textId="5DFEBCB3" w:rsidR="00701396" w:rsidRPr="00471D2F" w:rsidRDefault="00701396"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Finally, the rule changes removed the ability of local County Committees to </w:t>
            </w:r>
            <w:r w:rsidR="002C533B">
              <w:rPr>
                <w:rFonts w:ascii="Calibri" w:eastAsia="Calibri" w:hAnsi="Calibri" w:cs="Calibri"/>
                <w:bCs/>
                <w:sz w:val="22"/>
                <w:szCs w:val="22"/>
              </w:rPr>
              <w:t xml:space="preserve">adjust some rules for local conditions or specific to the disaster that occurred.  The local committees now have virtually no authority for how to best utilize these programs and customize </w:t>
            </w:r>
            <w:r w:rsidR="00494C4F">
              <w:rPr>
                <w:rFonts w:ascii="Calibri" w:eastAsia="Calibri" w:hAnsi="Calibri" w:cs="Calibri"/>
                <w:bCs/>
                <w:sz w:val="22"/>
                <w:szCs w:val="22"/>
              </w:rPr>
              <w:t>them,</w:t>
            </w:r>
            <w:r w:rsidR="002C533B">
              <w:rPr>
                <w:rFonts w:ascii="Calibri" w:eastAsia="Calibri" w:hAnsi="Calibri" w:cs="Calibri"/>
                <w:bCs/>
                <w:sz w:val="22"/>
                <w:szCs w:val="22"/>
              </w:rPr>
              <w:t xml:space="preserve"> so they do the </w:t>
            </w:r>
            <w:r w:rsidR="00494C4F">
              <w:rPr>
                <w:rFonts w:ascii="Calibri" w:eastAsia="Calibri" w:hAnsi="Calibri" w:cs="Calibri"/>
                <w:bCs/>
                <w:sz w:val="22"/>
                <w:szCs w:val="22"/>
              </w:rPr>
              <w:t>best</w:t>
            </w:r>
            <w:r w:rsidR="002C533B">
              <w:rPr>
                <w:rFonts w:ascii="Calibri" w:eastAsia="Calibri" w:hAnsi="Calibri" w:cs="Calibri"/>
                <w:bCs/>
                <w:sz w:val="22"/>
                <w:szCs w:val="22"/>
              </w:rPr>
              <w:t xml:space="preserve"> for </w:t>
            </w:r>
            <w:r w:rsidR="002C533B">
              <w:rPr>
                <w:rFonts w:ascii="Calibri" w:eastAsia="Calibri" w:hAnsi="Calibri" w:cs="Calibri"/>
                <w:bCs/>
                <w:sz w:val="22"/>
                <w:szCs w:val="22"/>
              </w:rPr>
              <w:lastRenderedPageBreak/>
              <w:t>resources and communities that were devastated by disasters.</w:t>
            </w:r>
            <w:r w:rsidR="00494C4F">
              <w:rPr>
                <w:rFonts w:ascii="Calibri" w:eastAsia="Calibri" w:hAnsi="Calibri" w:cs="Calibri"/>
                <w:bCs/>
                <w:sz w:val="22"/>
                <w:szCs w:val="22"/>
              </w:rPr>
              <w:t xml:space="preserve">  The ability to adapt programs to local needs is pivotal to ensuring communities, particularly underrepresented communities have resources that make the most sense, are the most accessible, and provide the greatest opportunity to rebound from disaster.</w:t>
            </w:r>
          </w:p>
        </w:tc>
      </w:tr>
    </w:tbl>
    <w:p w14:paraId="5B35FD08"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4CC48F9C" w14:textId="77777777" w:rsidTr="00783D1F">
        <w:tc>
          <w:tcPr>
            <w:tcW w:w="9378" w:type="dxa"/>
            <w:shd w:val="clear" w:color="auto" w:fill="auto"/>
          </w:tcPr>
          <w:p w14:paraId="4138FED0"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p>
          <w:p w14:paraId="42944269" w14:textId="4401A85E" w:rsidR="004C1E97" w:rsidRPr="00471D2F" w:rsidRDefault="00494C4F" w:rsidP="005458B7">
            <w:pPr>
              <w:pStyle w:val="ListParagraph"/>
              <w:ind w:left="0"/>
              <w:jc w:val="left"/>
              <w:rPr>
                <w:b w:val="0"/>
              </w:rPr>
            </w:pPr>
            <w:r>
              <w:rPr>
                <w:b w:val="0"/>
              </w:rPr>
              <w:t xml:space="preserve">WACD and NACD work with the USDA Farm Service Agency to revert the recent Emergency Conservation Program rules to pre-2021 rules, particularly </w:t>
            </w:r>
            <w:proofErr w:type="gramStart"/>
            <w:r>
              <w:rPr>
                <w:b w:val="0"/>
              </w:rPr>
              <w:t>in regards to</w:t>
            </w:r>
            <w:proofErr w:type="gramEnd"/>
            <w:r>
              <w:rPr>
                <w:b w:val="0"/>
              </w:rPr>
              <w:t xml:space="preserve"> full replacement of fencing, making public lands eligible for practice installation, and giving local county committees their jurisdiction to adapt the program as needed.</w:t>
            </w:r>
          </w:p>
        </w:tc>
      </w:tr>
    </w:tbl>
    <w:p w14:paraId="2BC628D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04CC80FA" w14:textId="77777777" w:rsidTr="00AE45AD">
        <w:trPr>
          <w:trHeight w:val="1439"/>
        </w:trPr>
        <w:tc>
          <w:tcPr>
            <w:tcW w:w="9350" w:type="dxa"/>
            <w:shd w:val="clear" w:color="auto" w:fill="auto"/>
          </w:tcPr>
          <w:p w14:paraId="6C1A9447"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2B75A82"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5F180AA9"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85DE2A4" w14:textId="3EFFB5F2" w:rsidR="00783D1F" w:rsidRPr="00471D2F" w:rsidRDefault="00475306" w:rsidP="00AE45AD">
            <w:pPr>
              <w:ind w:left="990" w:hanging="24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New policy.</w:t>
            </w:r>
          </w:p>
        </w:tc>
      </w:tr>
    </w:tbl>
    <w:p w14:paraId="347CB0AA"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5876D1B" w14:textId="77777777" w:rsidTr="00AE45AD">
        <w:trPr>
          <w:trHeight w:val="908"/>
        </w:trPr>
        <w:tc>
          <w:tcPr>
            <w:tcW w:w="9350" w:type="dxa"/>
            <w:shd w:val="clear" w:color="auto" w:fill="auto"/>
          </w:tcPr>
          <w:p w14:paraId="2E924C4A" w14:textId="77777777" w:rsidR="00783D1F" w:rsidRPr="00471D2F" w:rsidRDefault="00783D1F" w:rsidP="00783D1F">
            <w:pPr>
              <w:rPr>
                <w:rFonts w:ascii="Calibri" w:hAnsi="Calibri" w:cs="Calibri"/>
                <w:b/>
                <w:sz w:val="22"/>
                <w:szCs w:val="22"/>
              </w:rPr>
            </w:pPr>
            <w:r w:rsidRPr="00471D2F">
              <w:rPr>
                <w:rFonts w:ascii="Calibri" w:hAnsi="Calibri" w:cs="Calibri"/>
                <w:b/>
                <w:sz w:val="22"/>
                <w:szCs w:val="22"/>
              </w:rPr>
              <w:t>IS THERE A BUDGET IMPLICATION TO IMPLEMENT THE POLICY?</w:t>
            </w:r>
          </w:p>
          <w:p w14:paraId="3D858741" w14:textId="11451D52" w:rsidR="00783D1F" w:rsidRPr="00471D2F" w:rsidRDefault="00475306" w:rsidP="00783D1F">
            <w:pPr>
              <w:ind w:left="360"/>
              <w:rPr>
                <w:rFonts w:ascii="Calibri" w:hAnsi="Calibri" w:cs="Calibri"/>
                <w:sz w:val="22"/>
                <w:szCs w:val="22"/>
              </w:rPr>
            </w:pPr>
            <w:r>
              <w:rPr>
                <w:rFonts w:ascii="Calibri" w:eastAsia="Calibri" w:hAnsi="Calibri" w:cs="Calibri"/>
                <w:sz w:val="22"/>
                <w:szCs w:val="22"/>
              </w:rPr>
              <w:sym w:font="Wingdings" w:char="F078"/>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46A29052"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1771A46A"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DBC4" w14:textId="77777777" w:rsidR="002277EF" w:rsidRDefault="002277EF" w:rsidP="008B3F9C">
      <w:r>
        <w:separator/>
      </w:r>
    </w:p>
  </w:endnote>
  <w:endnote w:type="continuationSeparator" w:id="0">
    <w:p w14:paraId="3152070E" w14:textId="77777777" w:rsidR="002277EF" w:rsidRDefault="002277EF"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0D39" w14:textId="77777777" w:rsidR="002277EF" w:rsidRDefault="002277EF" w:rsidP="008B3F9C">
      <w:r>
        <w:separator/>
      </w:r>
    </w:p>
  </w:footnote>
  <w:footnote w:type="continuationSeparator" w:id="0">
    <w:p w14:paraId="106B56C2" w14:textId="77777777" w:rsidR="002277EF" w:rsidRDefault="002277EF"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B7E" w14:textId="7B021130" w:rsidR="00CB3FB9" w:rsidRPr="00E272B1" w:rsidRDefault="00874CF7" w:rsidP="00CB3FB9">
    <w:pPr>
      <w:pStyle w:val="Header"/>
      <w:jc w:val="center"/>
      <w:rPr>
        <w:rFonts w:ascii="Cambria" w:hAnsi="Cambria"/>
      </w:rPr>
    </w:pPr>
    <w:r w:rsidRPr="00CB3FB9">
      <w:rPr>
        <w:rFonts w:ascii="Cambria" w:hAnsi="Cambria"/>
        <w:noProof/>
      </w:rPr>
      <w:drawing>
        <wp:inline distT="0" distB="0" distL="0" distR="0" wp14:anchorId="7727C6DE" wp14:editId="61865F47">
          <wp:extent cx="762000" cy="561975"/>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0A1ECDF3"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9"/>
  </w:num>
  <w:num w:numId="6">
    <w:abstractNumId w:val="5"/>
  </w:num>
  <w:num w:numId="7">
    <w:abstractNumId w:val="8"/>
  </w:num>
  <w:num w:numId="8">
    <w:abstractNumId w:val="7"/>
  </w:num>
  <w:num w:numId="9">
    <w:abstractNumId w:val="6"/>
  </w:num>
  <w:num w:numId="10">
    <w:abstractNumId w:val="13"/>
  </w:num>
  <w:num w:numId="11">
    <w:abstractNumId w:val="4"/>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673C"/>
    <w:rsid w:val="00043F94"/>
    <w:rsid w:val="00047163"/>
    <w:rsid w:val="000C6DF0"/>
    <w:rsid w:val="000D7DF6"/>
    <w:rsid w:val="000E05F9"/>
    <w:rsid w:val="000E4251"/>
    <w:rsid w:val="00102878"/>
    <w:rsid w:val="00141D32"/>
    <w:rsid w:val="00166CDD"/>
    <w:rsid w:val="002277EF"/>
    <w:rsid w:val="0023718F"/>
    <w:rsid w:val="00267715"/>
    <w:rsid w:val="00296554"/>
    <w:rsid w:val="002A4B67"/>
    <w:rsid w:val="002C12AD"/>
    <w:rsid w:val="002C533B"/>
    <w:rsid w:val="002D7068"/>
    <w:rsid w:val="002E564E"/>
    <w:rsid w:val="002E6E24"/>
    <w:rsid w:val="00337BDD"/>
    <w:rsid w:val="003450DA"/>
    <w:rsid w:val="0037774A"/>
    <w:rsid w:val="00384D7E"/>
    <w:rsid w:val="003C3D87"/>
    <w:rsid w:val="003D3ACF"/>
    <w:rsid w:val="003D4465"/>
    <w:rsid w:val="003E56FF"/>
    <w:rsid w:val="00402DCD"/>
    <w:rsid w:val="00405DBD"/>
    <w:rsid w:val="00427487"/>
    <w:rsid w:val="0046597B"/>
    <w:rsid w:val="00471D2F"/>
    <w:rsid w:val="00474FE2"/>
    <w:rsid w:val="00475306"/>
    <w:rsid w:val="00494C4F"/>
    <w:rsid w:val="00496922"/>
    <w:rsid w:val="004A41F0"/>
    <w:rsid w:val="004C1E97"/>
    <w:rsid w:val="005458B7"/>
    <w:rsid w:val="00550A7D"/>
    <w:rsid w:val="00580F95"/>
    <w:rsid w:val="005B07EF"/>
    <w:rsid w:val="005B18FF"/>
    <w:rsid w:val="005E31CB"/>
    <w:rsid w:val="00635B63"/>
    <w:rsid w:val="00640BDF"/>
    <w:rsid w:val="00672916"/>
    <w:rsid w:val="006765E0"/>
    <w:rsid w:val="00685A16"/>
    <w:rsid w:val="006A2EF6"/>
    <w:rsid w:val="00701396"/>
    <w:rsid w:val="00722CDF"/>
    <w:rsid w:val="00725EAA"/>
    <w:rsid w:val="00742067"/>
    <w:rsid w:val="007715C1"/>
    <w:rsid w:val="00783D1F"/>
    <w:rsid w:val="007950AA"/>
    <w:rsid w:val="007C208B"/>
    <w:rsid w:val="007C6888"/>
    <w:rsid w:val="007D4FA2"/>
    <w:rsid w:val="007D6FD1"/>
    <w:rsid w:val="007F3769"/>
    <w:rsid w:val="008204DA"/>
    <w:rsid w:val="0083173B"/>
    <w:rsid w:val="00874CF7"/>
    <w:rsid w:val="008A2AB6"/>
    <w:rsid w:val="008B3F9C"/>
    <w:rsid w:val="008B725B"/>
    <w:rsid w:val="008C2EAA"/>
    <w:rsid w:val="008C419A"/>
    <w:rsid w:val="008E07C7"/>
    <w:rsid w:val="008F5E5B"/>
    <w:rsid w:val="00911B27"/>
    <w:rsid w:val="0093729C"/>
    <w:rsid w:val="00996F76"/>
    <w:rsid w:val="009B6089"/>
    <w:rsid w:val="009D516D"/>
    <w:rsid w:val="00A329AD"/>
    <w:rsid w:val="00A71109"/>
    <w:rsid w:val="00AC27B1"/>
    <w:rsid w:val="00AE45AD"/>
    <w:rsid w:val="00B017D3"/>
    <w:rsid w:val="00B102E4"/>
    <w:rsid w:val="00B967C9"/>
    <w:rsid w:val="00BE6267"/>
    <w:rsid w:val="00C26D0E"/>
    <w:rsid w:val="00C26DBB"/>
    <w:rsid w:val="00C2709E"/>
    <w:rsid w:val="00C51DE5"/>
    <w:rsid w:val="00C578E9"/>
    <w:rsid w:val="00C80A58"/>
    <w:rsid w:val="00CA1870"/>
    <w:rsid w:val="00CA6F76"/>
    <w:rsid w:val="00CB3FB9"/>
    <w:rsid w:val="00CC0CE0"/>
    <w:rsid w:val="00CC1DE0"/>
    <w:rsid w:val="00CE70CA"/>
    <w:rsid w:val="00CF6443"/>
    <w:rsid w:val="00CF76A8"/>
    <w:rsid w:val="00D70CF4"/>
    <w:rsid w:val="00DB3E47"/>
    <w:rsid w:val="00DC0C50"/>
    <w:rsid w:val="00E53F61"/>
    <w:rsid w:val="00EA1848"/>
    <w:rsid w:val="00EB1987"/>
    <w:rsid w:val="00ED51AC"/>
    <w:rsid w:val="00EE3D49"/>
    <w:rsid w:val="00F11300"/>
    <w:rsid w:val="00FA0290"/>
    <w:rsid w:val="00FA57A1"/>
    <w:rsid w:val="00FB2BEE"/>
    <w:rsid w:val="00FB5DC6"/>
    <w:rsid w:val="00FC6E6D"/>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049BB"/>
  <w15:chartTrackingRefBased/>
  <w15:docId w15:val="{B3167B96-D56B-4B59-9618-3CB28C68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WACD Admin</cp:lastModifiedBy>
  <cp:revision>2</cp:revision>
  <cp:lastPrinted>2020-07-30T23:34:00Z</cp:lastPrinted>
  <dcterms:created xsi:type="dcterms:W3CDTF">2021-10-19T17:55:00Z</dcterms:created>
  <dcterms:modified xsi:type="dcterms:W3CDTF">2021-10-19T17:55:00Z</dcterms:modified>
</cp:coreProperties>
</file>