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4A1F" w14:textId="77777777"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747798C9" w14:textId="77777777" w:rsidTr="00D1012A">
        <w:trPr>
          <w:trHeight w:val="161"/>
        </w:trPr>
        <w:tc>
          <w:tcPr>
            <w:tcW w:w="9350" w:type="dxa"/>
            <w:shd w:val="clear" w:color="auto" w:fill="auto"/>
          </w:tcPr>
          <w:p w14:paraId="5EE43950" w14:textId="7A871A0B" w:rsidR="00783D1F" w:rsidRPr="00AE45AD" w:rsidRDefault="00783D1F" w:rsidP="00AE45AD">
            <w:pPr>
              <w:rPr>
                <w:rFonts w:ascii="Calibri" w:eastAsia="Calibri" w:hAnsi="Calibri" w:cs="Calibri"/>
                <w:b/>
                <w:bCs/>
                <w:sz w:val="22"/>
                <w:szCs w:val="22"/>
              </w:rPr>
            </w:pPr>
            <w:r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bookmarkStart w:id="0" w:name="_Hlk85532763"/>
            <w:r w:rsidR="002E10CD">
              <w:rPr>
                <w:rFonts w:ascii="Calibri" w:eastAsia="Calibri" w:hAnsi="Calibri" w:cs="Calibri"/>
                <w:b/>
                <w:bCs/>
                <w:sz w:val="22"/>
                <w:szCs w:val="22"/>
              </w:rPr>
              <w:t>Stable Funding for CD Wildfire Risk Assessments</w:t>
            </w:r>
            <w:bookmarkEnd w:id="0"/>
          </w:p>
        </w:tc>
      </w:tr>
    </w:tbl>
    <w:p w14:paraId="2B2D585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5C8011BA" w14:textId="77777777" w:rsidTr="00AE45AD">
        <w:trPr>
          <w:trHeight w:val="278"/>
        </w:trPr>
        <w:tc>
          <w:tcPr>
            <w:tcW w:w="9350" w:type="dxa"/>
            <w:shd w:val="clear" w:color="auto" w:fill="auto"/>
          </w:tcPr>
          <w:p w14:paraId="05A31598" w14:textId="286A3572" w:rsidR="00783D1F" w:rsidRPr="00AE45AD" w:rsidRDefault="00783D1F" w:rsidP="00AE45AD">
            <w:pPr>
              <w:rPr>
                <w:rFonts w:ascii="Calibri" w:eastAsia="Calibri" w:hAnsi="Calibri" w:cs="Calibri"/>
                <w:sz w:val="22"/>
                <w:szCs w:val="22"/>
                <w:u w:val="single"/>
              </w:rPr>
            </w:pPr>
            <w:r w:rsidRPr="00471D2F">
              <w:rPr>
                <w:rFonts w:ascii="Calibri" w:eastAsia="Calibri" w:hAnsi="Calibri" w:cs="Calibri"/>
                <w:b/>
                <w:bCs/>
                <w:sz w:val="22"/>
                <w:szCs w:val="22"/>
              </w:rPr>
              <w:t>SPONSOR CD:</w:t>
            </w:r>
            <w:r w:rsidR="002E10CD">
              <w:rPr>
                <w:rFonts w:ascii="Calibri" w:eastAsia="Calibri" w:hAnsi="Calibri" w:cs="Calibri"/>
                <w:b/>
                <w:bCs/>
                <w:sz w:val="22"/>
                <w:szCs w:val="22"/>
              </w:rPr>
              <w:t xml:space="preserve"> Okanogan</w:t>
            </w:r>
          </w:p>
        </w:tc>
      </w:tr>
    </w:tbl>
    <w:p w14:paraId="3834FE8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2F612B1C" w14:textId="77777777" w:rsidTr="00AE45AD">
        <w:trPr>
          <w:trHeight w:val="296"/>
        </w:trPr>
        <w:tc>
          <w:tcPr>
            <w:tcW w:w="9350" w:type="dxa"/>
            <w:shd w:val="clear" w:color="auto" w:fill="auto"/>
          </w:tcPr>
          <w:p w14:paraId="6415B22C" w14:textId="13265F9F"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002E10CD">
              <w:rPr>
                <w:rFonts w:ascii="Calibri" w:eastAsia="Calibri" w:hAnsi="Calibri" w:cs="Calibri"/>
                <w:sz w:val="22"/>
                <w:szCs w:val="22"/>
              </w:rPr>
              <w:sym w:font="Wingdings" w:char="F078"/>
            </w:r>
            <w:r w:rsidRPr="00471D2F">
              <w:rPr>
                <w:rFonts w:ascii="Calibri" w:eastAsia="Calibri" w:hAnsi="Calibri" w:cs="Calibri"/>
                <w:sz w:val="22"/>
                <w:szCs w:val="22"/>
              </w:rPr>
              <w:t xml:space="preserve">NC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3DBFA4F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97B5F07" w14:textId="77777777" w:rsidTr="00AE45AD">
        <w:trPr>
          <w:trHeight w:val="1394"/>
        </w:trPr>
        <w:tc>
          <w:tcPr>
            <w:tcW w:w="9350" w:type="dxa"/>
            <w:shd w:val="clear" w:color="auto" w:fill="auto"/>
          </w:tcPr>
          <w:p w14:paraId="7C278E3C"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4888817" w14:textId="20C2A22E" w:rsidR="00783D1F" w:rsidRPr="00471D2F" w:rsidRDefault="002E10CD"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54D98A3C" w14:textId="77777777" w:rsidR="00783D1F" w:rsidRPr="00471D2F" w:rsidRDefault="00783D1F"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Position Statement</w:t>
            </w:r>
          </w:p>
          <w:p w14:paraId="3898FC42"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60124F5C"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4CF96AE1"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0278EE3" w14:textId="77777777" w:rsidTr="00AE45AD">
        <w:trPr>
          <w:trHeight w:val="1979"/>
        </w:trPr>
        <w:tc>
          <w:tcPr>
            <w:tcW w:w="9350" w:type="dxa"/>
            <w:shd w:val="clear" w:color="auto" w:fill="auto"/>
          </w:tcPr>
          <w:p w14:paraId="178623B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1013EAA3" w14:textId="25860692" w:rsidR="00783D1F" w:rsidRPr="00471D2F" w:rsidRDefault="002E10CD"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671D1E91" w14:textId="00EE52F7" w:rsidR="00783D1F" w:rsidRPr="00471D2F" w:rsidRDefault="002E10CD"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WSCC</w:t>
            </w:r>
          </w:p>
          <w:p w14:paraId="632A9915" w14:textId="5EDF1F6E" w:rsidR="00783D1F" w:rsidRPr="00471D2F" w:rsidRDefault="002E10CD"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00783D1F" w:rsidRPr="00471D2F">
              <w:rPr>
                <w:rFonts w:ascii="Calibri" w:eastAsia="Calibri" w:hAnsi="Calibri" w:cs="Calibri"/>
                <w:b/>
                <w:bCs/>
                <w:sz w:val="22"/>
                <w:szCs w:val="22"/>
              </w:rPr>
              <w:t xml:space="preserve">E AGENCY </w:t>
            </w:r>
            <w:r w:rsidR="00783D1F" w:rsidRPr="00471D2F">
              <w:rPr>
                <w:rFonts w:ascii="Calibri" w:eastAsia="Calibri" w:hAnsi="Calibri" w:cs="Calibri"/>
                <w:b/>
                <w:bCs/>
                <w:sz w:val="22"/>
                <w:szCs w:val="22"/>
              </w:rPr>
              <w:tab/>
            </w:r>
            <w:r w:rsidR="00783D1F" w:rsidRPr="00471D2F">
              <w:rPr>
                <w:rFonts w:ascii="Calibri" w:eastAsia="Calibri" w:hAnsi="Calibri" w:cs="Calibri"/>
                <w:b/>
                <w:bCs/>
                <w:sz w:val="22"/>
                <w:szCs w:val="22"/>
              </w:rPr>
              <w:tab/>
              <w:t>_</w:t>
            </w:r>
            <w:r>
              <w:rPr>
                <w:rFonts w:ascii="Calibri" w:eastAsia="Calibri" w:hAnsi="Calibri" w:cs="Calibri"/>
                <w:b/>
                <w:bCs/>
                <w:sz w:val="22"/>
                <w:szCs w:val="22"/>
              </w:rPr>
              <w:t>WADNR, Legislature</w:t>
            </w:r>
            <w:r w:rsidR="00783D1F" w:rsidRPr="00471D2F">
              <w:rPr>
                <w:rFonts w:ascii="Calibri" w:eastAsia="Calibri" w:hAnsi="Calibri" w:cs="Calibri"/>
                <w:b/>
                <w:bCs/>
                <w:sz w:val="22"/>
                <w:szCs w:val="22"/>
              </w:rPr>
              <w:t>___________________</w:t>
            </w:r>
          </w:p>
          <w:p w14:paraId="743FB6D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4B56F5E8"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p>
          <w:p w14:paraId="622492FB"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78A15CEC"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3D1F" w:rsidRPr="00471D2F" w14:paraId="537F719A" w14:textId="77777777" w:rsidTr="00CA6F76">
        <w:tc>
          <w:tcPr>
            <w:tcW w:w="9350" w:type="dxa"/>
            <w:shd w:val="clear" w:color="auto" w:fill="auto"/>
          </w:tcPr>
          <w:p w14:paraId="6176CE5B"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BACKGROUND/PROBLEM STATEMENT:</w:t>
            </w:r>
          </w:p>
          <w:p w14:paraId="2163A57D" w14:textId="77777777" w:rsidR="00EB1987" w:rsidRDefault="002E10CD"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Many of Washington State’s 45 conservation districts have been developing wildfire preparedness and hazard mitigation programs for many years.  These programs, while very successful, have struggled in most cases to find consistent funding.  While districts are accustomed to being grant funded, this is a program area that is particularly difficult to find grant funds to conduct home ignition zone assessments, forest health assessments, forest fuels assessments, fuels reduction activities, home hardening, community wildfire planning, </w:t>
            </w:r>
            <w:r w:rsidR="009A092A">
              <w:rPr>
                <w:rFonts w:ascii="Calibri" w:eastAsia="Calibri" w:hAnsi="Calibri" w:cs="Calibri"/>
                <w:bCs/>
                <w:sz w:val="22"/>
                <w:szCs w:val="22"/>
              </w:rPr>
              <w:t>and related activities.</w:t>
            </w:r>
          </w:p>
          <w:p w14:paraId="1D636FD1" w14:textId="77777777" w:rsidR="009A092A" w:rsidRDefault="009A092A"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Conservation Districts have requested funding appropriations through the Conservation Commission to the Washington Legislature numerous times in recent years and were only minimally successful for one biennium.  </w:t>
            </w:r>
          </w:p>
          <w:p w14:paraId="25D76662" w14:textId="17F47727" w:rsidR="009A092A" w:rsidRPr="00471D2F" w:rsidRDefault="009A092A" w:rsidP="00783D1F">
            <w:pPr>
              <w:spacing w:after="160" w:line="259" w:lineRule="auto"/>
              <w:rPr>
                <w:rFonts w:ascii="Calibri" w:eastAsia="Calibri" w:hAnsi="Calibri" w:cs="Calibri"/>
                <w:bCs/>
                <w:sz w:val="22"/>
                <w:szCs w:val="22"/>
              </w:rPr>
            </w:pPr>
            <w:r>
              <w:rPr>
                <w:rFonts w:ascii="Calibri" w:eastAsia="Calibri" w:hAnsi="Calibri" w:cs="Calibri"/>
                <w:bCs/>
                <w:sz w:val="22"/>
                <w:szCs w:val="22"/>
              </w:rPr>
              <w:t>Most Districts have a very good partnership with Washington Department of Natural Resource (DNR) staff at the local level.  Those partnerships have often evolved over the years, adapting to the skill sets of staff in both entities, available funding, and program directions.  What hasn’t changed is that DNR has had an almost vice like grip on available funding for these activities but doesn’t prioritize funding local conservation districts to help with these projects until near the end of a biennium and the projects get rushed then stop abruptly with the end of the funding cycle.</w:t>
            </w:r>
          </w:p>
        </w:tc>
      </w:tr>
    </w:tbl>
    <w:p w14:paraId="5B35FD08"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783D1F" w:rsidRPr="00471D2F" w14:paraId="4CC48F9C" w14:textId="77777777" w:rsidTr="00783D1F">
        <w:tc>
          <w:tcPr>
            <w:tcW w:w="9378" w:type="dxa"/>
            <w:shd w:val="clear" w:color="auto" w:fill="auto"/>
          </w:tcPr>
          <w:p w14:paraId="4138FED0"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p>
          <w:p w14:paraId="42944269" w14:textId="4E64235D" w:rsidR="004C1E97" w:rsidRPr="00471D2F" w:rsidRDefault="009A092A" w:rsidP="005458B7">
            <w:pPr>
              <w:pStyle w:val="ListParagraph"/>
              <w:ind w:left="0"/>
              <w:jc w:val="left"/>
              <w:rPr>
                <w:b w:val="0"/>
              </w:rPr>
            </w:pPr>
            <w:r>
              <w:rPr>
                <w:b w:val="0"/>
              </w:rPr>
              <w:lastRenderedPageBreak/>
              <w:t>WACD make it a policy priority to communicate the need for fire preparedness funding should go directly to conservation districts via the Conservation Commission.  WACD shall work with the Conservation Commission, Washington State Governor’s Office, Washington State Legislature, Washington Department of Natural Resources, and others as appropriate, to get dedicated funding and ensure the funding appropriation remains in each budget cycle thereafter.</w:t>
            </w:r>
          </w:p>
        </w:tc>
      </w:tr>
    </w:tbl>
    <w:p w14:paraId="2BC628D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04CC80FA" w14:textId="77777777" w:rsidTr="00AE45AD">
        <w:trPr>
          <w:trHeight w:val="1439"/>
        </w:trPr>
        <w:tc>
          <w:tcPr>
            <w:tcW w:w="9350" w:type="dxa"/>
            <w:shd w:val="clear" w:color="auto" w:fill="auto"/>
          </w:tcPr>
          <w:p w14:paraId="6C1A9447"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2B75A82"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5F180AA9"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85DE2A4" w14:textId="06F5573D" w:rsidR="00783D1F" w:rsidRPr="00471D2F" w:rsidRDefault="009A092A" w:rsidP="00AE45AD">
            <w:pPr>
              <w:ind w:left="990" w:hanging="24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New policy.</w:t>
            </w:r>
          </w:p>
        </w:tc>
      </w:tr>
    </w:tbl>
    <w:p w14:paraId="347CB0AA"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5876D1B" w14:textId="77777777" w:rsidTr="00AE45AD">
        <w:trPr>
          <w:trHeight w:val="908"/>
        </w:trPr>
        <w:tc>
          <w:tcPr>
            <w:tcW w:w="9350" w:type="dxa"/>
            <w:shd w:val="clear" w:color="auto" w:fill="auto"/>
          </w:tcPr>
          <w:p w14:paraId="2E924C4A" w14:textId="77777777" w:rsidR="00783D1F" w:rsidRPr="00471D2F" w:rsidRDefault="00783D1F" w:rsidP="00783D1F">
            <w:pPr>
              <w:rPr>
                <w:rFonts w:ascii="Calibri" w:hAnsi="Calibri" w:cs="Calibri"/>
                <w:b/>
                <w:sz w:val="22"/>
                <w:szCs w:val="22"/>
              </w:rPr>
            </w:pPr>
            <w:r w:rsidRPr="00471D2F">
              <w:rPr>
                <w:rFonts w:ascii="Calibri" w:hAnsi="Calibri" w:cs="Calibri"/>
                <w:b/>
                <w:sz w:val="22"/>
                <w:szCs w:val="22"/>
              </w:rPr>
              <w:t>IS THERE A BUDGET IMPLICATION TO IMPLEMENT THE POLICY?</w:t>
            </w:r>
          </w:p>
          <w:p w14:paraId="3D858741" w14:textId="77777777" w:rsidR="00783D1F" w:rsidRPr="00471D2F" w:rsidRDefault="00006ADB" w:rsidP="00783D1F">
            <w:pPr>
              <w:ind w:left="360"/>
              <w:rPr>
                <w:rFonts w:ascii="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hAnsi="Calibri" w:cs="Calibri"/>
                <w:sz w:val="22"/>
                <w:szCs w:val="22"/>
              </w:rPr>
              <w:t xml:space="preserve"> </w:t>
            </w:r>
            <w:r w:rsidR="00783D1F" w:rsidRPr="00471D2F">
              <w:rPr>
                <w:rFonts w:ascii="Calibri" w:hAnsi="Calibri" w:cs="Calibri"/>
                <w:b/>
                <w:bCs/>
                <w:sz w:val="22"/>
                <w:szCs w:val="22"/>
              </w:rPr>
              <w:t>NO</w:t>
            </w:r>
          </w:p>
          <w:p w14:paraId="46A29052" w14:textId="161D7A2F" w:rsidR="00783D1F" w:rsidRPr="00AE45AD" w:rsidRDefault="009A092A" w:rsidP="00AE45AD">
            <w:pPr>
              <w:ind w:left="360"/>
              <w:rPr>
                <w:rFonts w:ascii="Calibri" w:hAnsi="Calibri" w:cs="Calibri"/>
                <w:sz w:val="22"/>
                <w:szCs w:val="22"/>
              </w:rPr>
            </w:pPr>
            <w:r>
              <w:rPr>
                <w:rFonts w:ascii="Calibri" w:hAnsi="Calibri" w:cs="Calibri"/>
                <w:sz w:val="22"/>
                <w:szCs w:val="22"/>
              </w:rPr>
              <w:sym w:font="Wingdings" w:char="F078"/>
            </w:r>
            <w:r w:rsidR="00783D1F" w:rsidRPr="00471D2F">
              <w:rPr>
                <w:rFonts w:ascii="Calibri" w:hAnsi="Calibri" w:cs="Calibri"/>
                <w:sz w:val="22"/>
                <w:szCs w:val="22"/>
              </w:rPr>
              <w:t xml:space="preserve"> </w:t>
            </w:r>
            <w:r w:rsidR="00783D1F" w:rsidRPr="00471D2F">
              <w:rPr>
                <w:rFonts w:ascii="Calibri" w:hAnsi="Calibri" w:cs="Calibri"/>
                <w:b/>
                <w:bCs/>
                <w:sz w:val="22"/>
                <w:szCs w:val="22"/>
              </w:rPr>
              <w:t>YES</w:t>
            </w:r>
            <w:r w:rsidR="00783D1F" w:rsidRPr="00471D2F">
              <w:rPr>
                <w:rFonts w:ascii="Calibri" w:hAnsi="Calibri" w:cs="Calibri"/>
                <w:sz w:val="22"/>
                <w:szCs w:val="22"/>
              </w:rPr>
              <w:t xml:space="preserve"> (briefly explain):</w:t>
            </w:r>
            <w:r>
              <w:rPr>
                <w:rFonts w:ascii="Calibri" w:hAnsi="Calibri" w:cs="Calibri"/>
                <w:sz w:val="22"/>
                <w:szCs w:val="22"/>
              </w:rPr>
              <w:t xml:space="preserve"> This will take staff time and resources to communicate this priority to the </w:t>
            </w:r>
            <w:proofErr w:type="gramStart"/>
            <w:r>
              <w:rPr>
                <w:rFonts w:ascii="Calibri" w:hAnsi="Calibri" w:cs="Calibri"/>
                <w:sz w:val="22"/>
                <w:szCs w:val="22"/>
              </w:rPr>
              <w:t>aforementioned entities</w:t>
            </w:r>
            <w:proofErr w:type="gramEnd"/>
            <w:r>
              <w:rPr>
                <w:rFonts w:ascii="Calibri" w:hAnsi="Calibri" w:cs="Calibri"/>
                <w:sz w:val="22"/>
                <w:szCs w:val="22"/>
              </w:rPr>
              <w:t xml:space="preserve">.  </w:t>
            </w:r>
          </w:p>
        </w:tc>
      </w:tr>
    </w:tbl>
    <w:p w14:paraId="1771A46A" w14:textId="77777777" w:rsidR="002E564E" w:rsidRPr="00471D2F" w:rsidRDefault="002E564E" w:rsidP="003E56FF">
      <w:pPr>
        <w:pStyle w:val="ListParagraph"/>
        <w:ind w:left="0"/>
        <w:jc w:val="left"/>
        <w:rPr>
          <w:b w:val="0"/>
        </w:rPr>
      </w:pPr>
    </w:p>
    <w:sectPr w:rsidR="002E564E" w:rsidRPr="00471D2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37567" w14:textId="77777777" w:rsidR="00023EE1" w:rsidRDefault="00023EE1" w:rsidP="008B3F9C">
      <w:r>
        <w:separator/>
      </w:r>
    </w:p>
  </w:endnote>
  <w:endnote w:type="continuationSeparator" w:id="0">
    <w:p w14:paraId="0735DEB1" w14:textId="77777777" w:rsidR="00023EE1" w:rsidRDefault="00023EE1"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CF66" w14:textId="77777777" w:rsidR="00023EE1" w:rsidRDefault="00023EE1" w:rsidP="008B3F9C">
      <w:r>
        <w:separator/>
      </w:r>
    </w:p>
  </w:footnote>
  <w:footnote w:type="continuationSeparator" w:id="0">
    <w:p w14:paraId="2B52A889" w14:textId="77777777" w:rsidR="00023EE1" w:rsidRDefault="00023EE1"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0B7E" w14:textId="7B021130" w:rsidR="00CB3FB9" w:rsidRPr="00E272B1" w:rsidRDefault="00874CF7" w:rsidP="00CB3FB9">
    <w:pPr>
      <w:pStyle w:val="Header"/>
      <w:jc w:val="center"/>
      <w:rPr>
        <w:rFonts w:ascii="Cambria" w:hAnsi="Cambria"/>
      </w:rPr>
    </w:pPr>
    <w:r w:rsidRPr="00CB3FB9">
      <w:rPr>
        <w:rFonts w:ascii="Cambria" w:hAnsi="Cambria"/>
        <w:noProof/>
      </w:rPr>
      <w:drawing>
        <wp:inline distT="0" distB="0" distL="0" distR="0" wp14:anchorId="7727C6DE" wp14:editId="61865F47">
          <wp:extent cx="762000" cy="561975"/>
          <wp:effectExtent l="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p w14:paraId="0A1ECDF3"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1"/>
  </w:num>
  <w:num w:numId="5">
    <w:abstractNumId w:val="9"/>
  </w:num>
  <w:num w:numId="6">
    <w:abstractNumId w:val="5"/>
  </w:num>
  <w:num w:numId="7">
    <w:abstractNumId w:val="8"/>
  </w:num>
  <w:num w:numId="8">
    <w:abstractNumId w:val="7"/>
  </w:num>
  <w:num w:numId="9">
    <w:abstractNumId w:val="6"/>
  </w:num>
  <w:num w:numId="10">
    <w:abstractNumId w:val="13"/>
  </w:num>
  <w:num w:numId="11">
    <w:abstractNumId w:val="4"/>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23EE1"/>
    <w:rsid w:val="0003673C"/>
    <w:rsid w:val="00043F94"/>
    <w:rsid w:val="00047163"/>
    <w:rsid w:val="000D7DF6"/>
    <w:rsid w:val="000E05F9"/>
    <w:rsid w:val="000E4251"/>
    <w:rsid w:val="00102878"/>
    <w:rsid w:val="00141D32"/>
    <w:rsid w:val="001F1798"/>
    <w:rsid w:val="0023718F"/>
    <w:rsid w:val="00267715"/>
    <w:rsid w:val="00296554"/>
    <w:rsid w:val="002A4B67"/>
    <w:rsid w:val="002C12AD"/>
    <w:rsid w:val="002D7068"/>
    <w:rsid w:val="002E10CD"/>
    <w:rsid w:val="002E564E"/>
    <w:rsid w:val="002E6E24"/>
    <w:rsid w:val="00337BDD"/>
    <w:rsid w:val="003450DA"/>
    <w:rsid w:val="0037774A"/>
    <w:rsid w:val="00384D7E"/>
    <w:rsid w:val="003C3D87"/>
    <w:rsid w:val="003D3ACF"/>
    <w:rsid w:val="003D4465"/>
    <w:rsid w:val="003E56FF"/>
    <w:rsid w:val="00402DCD"/>
    <w:rsid w:val="00405DBD"/>
    <w:rsid w:val="00427487"/>
    <w:rsid w:val="0046597B"/>
    <w:rsid w:val="00471D2F"/>
    <w:rsid w:val="00474FE2"/>
    <w:rsid w:val="00496922"/>
    <w:rsid w:val="004A41F0"/>
    <w:rsid w:val="004C1E97"/>
    <w:rsid w:val="005458B7"/>
    <w:rsid w:val="00550A7D"/>
    <w:rsid w:val="00580F95"/>
    <w:rsid w:val="005B18FF"/>
    <w:rsid w:val="005E31CB"/>
    <w:rsid w:val="00635B63"/>
    <w:rsid w:val="00640BDF"/>
    <w:rsid w:val="00672916"/>
    <w:rsid w:val="006765E0"/>
    <w:rsid w:val="00685A16"/>
    <w:rsid w:val="00722CDF"/>
    <w:rsid w:val="00725EAA"/>
    <w:rsid w:val="00742067"/>
    <w:rsid w:val="00743B16"/>
    <w:rsid w:val="007715C1"/>
    <w:rsid w:val="00783D1F"/>
    <w:rsid w:val="007950AA"/>
    <w:rsid w:val="007C208B"/>
    <w:rsid w:val="007C6888"/>
    <w:rsid w:val="007D4FA2"/>
    <w:rsid w:val="007D6FD1"/>
    <w:rsid w:val="007F3769"/>
    <w:rsid w:val="008204DA"/>
    <w:rsid w:val="0083173B"/>
    <w:rsid w:val="00874CF7"/>
    <w:rsid w:val="008A2AB6"/>
    <w:rsid w:val="008B3F9C"/>
    <w:rsid w:val="008B725B"/>
    <w:rsid w:val="008C2EAA"/>
    <w:rsid w:val="008C419A"/>
    <w:rsid w:val="008E07C7"/>
    <w:rsid w:val="008F5E5B"/>
    <w:rsid w:val="00911B27"/>
    <w:rsid w:val="0093729C"/>
    <w:rsid w:val="00996F76"/>
    <w:rsid w:val="009A092A"/>
    <w:rsid w:val="009B6089"/>
    <w:rsid w:val="009D516D"/>
    <w:rsid w:val="00A329AD"/>
    <w:rsid w:val="00A71109"/>
    <w:rsid w:val="00AC27B1"/>
    <w:rsid w:val="00AE45AD"/>
    <w:rsid w:val="00B017D3"/>
    <w:rsid w:val="00B102E4"/>
    <w:rsid w:val="00B967C9"/>
    <w:rsid w:val="00BE6267"/>
    <w:rsid w:val="00C26D0E"/>
    <w:rsid w:val="00C26DBB"/>
    <w:rsid w:val="00C2709E"/>
    <w:rsid w:val="00C51DE5"/>
    <w:rsid w:val="00C578E9"/>
    <w:rsid w:val="00C80A58"/>
    <w:rsid w:val="00CA1870"/>
    <w:rsid w:val="00CA6F76"/>
    <w:rsid w:val="00CB3FB9"/>
    <w:rsid w:val="00CC0CE0"/>
    <w:rsid w:val="00CC1DE0"/>
    <w:rsid w:val="00CE70CA"/>
    <w:rsid w:val="00CF6443"/>
    <w:rsid w:val="00CF76A8"/>
    <w:rsid w:val="00D1012A"/>
    <w:rsid w:val="00D70CF4"/>
    <w:rsid w:val="00DB3E47"/>
    <w:rsid w:val="00DC0C50"/>
    <w:rsid w:val="00E53F61"/>
    <w:rsid w:val="00EA1848"/>
    <w:rsid w:val="00EB1987"/>
    <w:rsid w:val="00ED51AC"/>
    <w:rsid w:val="00EE3D49"/>
    <w:rsid w:val="00F11300"/>
    <w:rsid w:val="00FA0290"/>
    <w:rsid w:val="00FA57A1"/>
    <w:rsid w:val="00FB2BEE"/>
    <w:rsid w:val="00FB5DC6"/>
    <w:rsid w:val="00FC6E6D"/>
    <w:rsid w:val="00FE09FB"/>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049BB"/>
  <w15:chartTrackingRefBased/>
  <w15:docId w15:val="{B3167B96-D56B-4B59-9618-3CB28C68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subject/>
  <dc:creator>Larry Davis</dc:creator>
  <cp:keywords/>
  <dc:description/>
  <cp:lastModifiedBy>WACD Admin</cp:lastModifiedBy>
  <cp:revision>2</cp:revision>
  <cp:lastPrinted>2020-07-30T23:34:00Z</cp:lastPrinted>
  <dcterms:created xsi:type="dcterms:W3CDTF">2021-10-19T17:54:00Z</dcterms:created>
  <dcterms:modified xsi:type="dcterms:W3CDTF">2021-10-19T17:54:00Z</dcterms:modified>
</cp:coreProperties>
</file>