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624C3716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A4100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Fire Response through </w:t>
            </w:r>
            <w:r w:rsidR="009301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creation of </w:t>
            </w:r>
            <w:r w:rsidR="00A4100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Rangeland </w:t>
            </w:r>
            <w:r w:rsidR="009301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Fire Protection Associations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6A28A074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14085A61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2A0B7D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D043BD3" w:rsidR="00783D1F" w:rsidRPr="00471D2F" w:rsidRDefault="002A0B7D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2871E803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2E12F681" w:rsidR="00783D1F" w:rsidRPr="00471D2F" w:rsidRDefault="00C66F73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n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o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32F0F46F" w:rsidR="00783D1F" w:rsidRPr="00AE45AD" w:rsidRDefault="00DE7397" w:rsidP="2871E803">
            <w:pPr>
              <w:spacing w:line="259" w:lineRule="auto"/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871E803">
              <w:rPr>
                <w:rFonts w:ascii="Wingdings" w:eastAsia="Wingdings" w:hAnsi="Wingdings" w:cs="Wingdings"/>
                <w:b/>
                <w:bCs/>
                <w:sz w:val="22"/>
                <w:szCs w:val="22"/>
              </w:rPr>
              <w:t>n</w:t>
            </w:r>
            <w:r w:rsidR="00783D1F" w:rsidRPr="2871E8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NON-STATE/FEDERAL PARTNER </w:t>
            </w:r>
            <w:r>
              <w:tab/>
            </w:r>
            <w:r w:rsidR="1C8D0179" w:rsidRPr="2871E8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BLM, DNR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68354F31" w:rsidR="008A5B4D" w:rsidRPr="00471D2F" w:rsidRDefault="00DE7397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2871E803">
        <w:trPr>
          <w:trHeight w:val="1385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4B7746F5" w14:textId="7FC33A03" w:rsidR="00262DB2" w:rsidRDefault="00692943" w:rsidP="2871E803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br/>
            </w:r>
            <w:r w:rsidR="7553BB1D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Washington State has </w:t>
            </w:r>
            <w:r w:rsidR="59F76FA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roughly </w:t>
            </w:r>
            <w:r w:rsidR="6E1745DF" w:rsidRPr="2871E803">
              <w:rPr>
                <w:rFonts w:ascii="Calibri" w:eastAsia="Calibri" w:hAnsi="Calibri" w:cs="Calibri"/>
                <w:sz w:val="22"/>
                <w:szCs w:val="22"/>
              </w:rPr>
              <w:t>19.8</w:t>
            </w:r>
            <w:r w:rsidR="59F76FA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3C47DEE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million </w:t>
            </w:r>
            <w:r w:rsidR="59F76FA6" w:rsidRPr="2871E803">
              <w:rPr>
                <w:rFonts w:ascii="Calibri" w:eastAsia="Calibri" w:hAnsi="Calibri" w:cs="Calibri"/>
                <w:sz w:val="22"/>
                <w:szCs w:val="22"/>
              </w:rPr>
              <w:t>acre</w:t>
            </w:r>
            <w:r w:rsidR="6E1745DF" w:rsidRPr="2871E803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59F76FA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of </w:t>
            </w:r>
            <w:r w:rsidR="66E48BC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Public Lands under the responsibility of </w:t>
            </w:r>
            <w:r w:rsidR="613977E7" w:rsidRPr="2871E803">
              <w:rPr>
                <w:rFonts w:ascii="Calibri" w:eastAsia="Calibri" w:hAnsi="Calibri" w:cs="Calibri"/>
                <w:sz w:val="22"/>
                <w:szCs w:val="22"/>
              </w:rPr>
              <w:t>various agencies.</w:t>
            </w:r>
            <w:r w:rsidR="66CB8F8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4F0DBF5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These public lands play a critical role in </w:t>
            </w:r>
            <w:r w:rsidR="36F5211E" w:rsidRPr="2871E803">
              <w:rPr>
                <w:rFonts w:ascii="Calibri" w:eastAsia="Calibri" w:hAnsi="Calibri" w:cs="Calibri"/>
                <w:sz w:val="22"/>
                <w:szCs w:val="22"/>
              </w:rPr>
              <w:t>the working landscape</w:t>
            </w:r>
            <w:r w:rsidR="765C95A6" w:rsidRPr="2871E803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36F5211E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and are often rented by area producers to utilize as a source of</w:t>
            </w:r>
            <w:r w:rsidR="765C95A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grazing ground. </w:t>
            </w:r>
            <w:r w:rsidR="58027C31" w:rsidRPr="2871E803">
              <w:rPr>
                <w:rFonts w:ascii="Calibri" w:eastAsia="Calibri" w:hAnsi="Calibri" w:cs="Calibri"/>
                <w:sz w:val="22"/>
                <w:szCs w:val="22"/>
              </w:rPr>
              <w:t>Recently, these lands have been subject to devastating wildfires that are often left to burn in a controlled manner</w:t>
            </w:r>
            <w:r w:rsidR="2FC9FCC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d</w:t>
            </w:r>
            <w:r w:rsidR="3454654B" w:rsidRPr="2871E803"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r w:rsidR="2FC9FCC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to limited resources</w:t>
            </w:r>
            <w:r w:rsidR="6305B85D" w:rsidRPr="2871E803">
              <w:rPr>
                <w:rFonts w:ascii="Calibri" w:eastAsia="Calibri" w:hAnsi="Calibri" w:cs="Calibri"/>
                <w:sz w:val="22"/>
                <w:szCs w:val="22"/>
              </w:rPr>
              <w:t>, jurisdiction</w:t>
            </w:r>
            <w:r w:rsidR="741BA72F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authority</w:t>
            </w:r>
            <w:r w:rsidR="6305B85D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, and </w:t>
            </w:r>
            <w:r w:rsidR="3454654B" w:rsidRPr="2871E803">
              <w:rPr>
                <w:rFonts w:ascii="Calibri" w:eastAsia="Calibri" w:hAnsi="Calibri" w:cs="Calibri"/>
                <w:sz w:val="22"/>
                <w:szCs w:val="22"/>
              </w:rPr>
              <w:t>issues with personnel authority clearance.</w:t>
            </w:r>
            <w:r w:rsidR="189ED279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67DE620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Once fires are burned, the same issue </w:t>
            </w:r>
            <w:r w:rsidR="588A11C9" w:rsidRPr="2871E803">
              <w:rPr>
                <w:rFonts w:ascii="Calibri" w:eastAsia="Calibri" w:hAnsi="Calibri" w:cs="Calibri"/>
                <w:sz w:val="22"/>
                <w:szCs w:val="22"/>
              </w:rPr>
              <w:t>comes</w:t>
            </w:r>
            <w:r w:rsidR="067DE620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into play for the management of </w:t>
            </w:r>
            <w:r w:rsidR="36A09CD2" w:rsidRPr="2871E803">
              <w:rPr>
                <w:rFonts w:ascii="Calibri" w:eastAsia="Calibri" w:hAnsi="Calibri" w:cs="Calibri"/>
                <w:sz w:val="22"/>
                <w:szCs w:val="22"/>
              </w:rPr>
              <w:t>wildfire recovery</w:t>
            </w:r>
            <w:r w:rsidR="30BE3890" w:rsidRPr="2871E803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4D507FF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leaving </w:t>
            </w:r>
            <w:r w:rsidR="4A3E641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lands </w:t>
            </w:r>
            <w:r w:rsidR="494325F4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at risk of </w:t>
            </w:r>
            <w:r w:rsidR="497103B8" w:rsidRPr="2871E803">
              <w:rPr>
                <w:rFonts w:ascii="Calibri" w:eastAsia="Calibri" w:hAnsi="Calibri" w:cs="Calibri"/>
                <w:sz w:val="22"/>
                <w:szCs w:val="22"/>
              </w:rPr>
              <w:t>noxious weed pressures</w:t>
            </w:r>
            <w:r w:rsidR="4A3E641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F6F93D2" w:rsidRPr="2871E803">
              <w:rPr>
                <w:rFonts w:ascii="Calibri" w:eastAsia="Calibri" w:hAnsi="Calibri" w:cs="Calibri"/>
                <w:sz w:val="22"/>
                <w:szCs w:val="22"/>
              </w:rPr>
              <w:t>and degraded infrastructure such as fencing</w:t>
            </w:r>
            <w:r w:rsidR="4A3E6417" w:rsidRPr="2871E803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14350D6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post fire.</w:t>
            </w:r>
            <w:r w:rsidR="4A3E641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8265308" w:rsidRPr="2871E803">
              <w:rPr>
                <w:rFonts w:ascii="Calibri" w:eastAsia="Calibri" w:hAnsi="Calibri" w:cs="Calibri"/>
                <w:sz w:val="22"/>
                <w:szCs w:val="22"/>
              </w:rPr>
              <w:t>Local area producers that rent that land as a pasture source must undergo the burden of sourcing other forage to feed herds, in addition to land loss totals anywhere from $100-$200 an acre</w:t>
            </w:r>
            <w:r w:rsidR="026BA6FF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8265308" w:rsidRPr="2871E803">
              <w:rPr>
                <w:rFonts w:ascii="Calibri" w:eastAsia="Calibri" w:hAnsi="Calibri" w:cs="Calibri"/>
                <w:sz w:val="22"/>
                <w:szCs w:val="22"/>
              </w:rPr>
              <w:t>and loss of grain lands amounting to $100-$300 an acre.</w:t>
            </w:r>
          </w:p>
          <w:p w14:paraId="7B5B8E2E" w14:textId="5E1ACA1F" w:rsidR="00DE7397" w:rsidRDefault="131432E0" w:rsidP="2871E803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871E803">
              <w:rPr>
                <w:rFonts w:ascii="Calibri" w:eastAsia="Calibri" w:hAnsi="Calibri" w:cs="Calibri"/>
                <w:sz w:val="22"/>
                <w:szCs w:val="22"/>
              </w:rPr>
              <w:t>The creation of area</w:t>
            </w:r>
            <w:r w:rsidR="5892B36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Rangeland Fire Protection Associations </w:t>
            </w:r>
            <w:r w:rsidR="36EEC873" w:rsidRPr="2871E803">
              <w:rPr>
                <w:rFonts w:ascii="Calibri" w:eastAsia="Calibri" w:hAnsi="Calibri" w:cs="Calibri"/>
                <w:sz w:val="22"/>
                <w:szCs w:val="22"/>
              </w:rPr>
              <w:t>can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help with </w:t>
            </w:r>
            <w:r w:rsidR="36EEC87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fire 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>response</w:t>
            </w:r>
            <w:r w:rsidR="045CD97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by building local capacity</w:t>
            </w:r>
            <w:r w:rsidR="72D56E2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to respond </w:t>
            </w:r>
            <w:r w:rsidR="196C902A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to wildfire emergencies </w:t>
            </w:r>
            <w:r w:rsidR="72D56E22" w:rsidRPr="2871E803">
              <w:rPr>
                <w:rFonts w:ascii="Calibri" w:eastAsia="Calibri" w:hAnsi="Calibri" w:cs="Calibri"/>
                <w:sz w:val="22"/>
                <w:szCs w:val="22"/>
              </w:rPr>
              <w:t>in addition to other crews who may be dispatched to that area.</w:t>
            </w:r>
            <w:r w:rsidR="6F2C3DB9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4BEF5F6" w:rsidRPr="2871E803">
              <w:rPr>
                <w:rFonts w:ascii="Calibri" w:eastAsia="Calibri" w:hAnsi="Calibri" w:cs="Calibri"/>
                <w:sz w:val="22"/>
                <w:szCs w:val="22"/>
              </w:rPr>
              <w:t>This</w:t>
            </w:r>
            <w:r w:rsidR="038CE27B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will</w:t>
            </w:r>
            <w:r w:rsidR="24BEF5F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1DD3099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also </w:t>
            </w:r>
            <w:r w:rsidR="028FBA88" w:rsidRPr="2871E803">
              <w:rPr>
                <w:rFonts w:ascii="Calibri" w:eastAsia="Calibri" w:hAnsi="Calibri" w:cs="Calibri"/>
                <w:sz w:val="22"/>
                <w:szCs w:val="22"/>
              </w:rPr>
              <w:t>create</w:t>
            </w:r>
            <w:r w:rsidR="49EC771F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65E7DA1B" w:rsidRPr="2871E803">
              <w:rPr>
                <w:rFonts w:ascii="Calibri" w:eastAsia="Calibri" w:hAnsi="Calibri" w:cs="Calibri"/>
                <w:sz w:val="22"/>
                <w:szCs w:val="22"/>
              </w:rPr>
              <w:t>n opportunity to develop a</w:t>
            </w:r>
            <w:r w:rsidR="028FBA8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local training </w:t>
            </w:r>
            <w:r w:rsidR="06BCFF20" w:rsidRPr="2871E803">
              <w:rPr>
                <w:rFonts w:ascii="Calibri" w:eastAsia="Calibri" w:hAnsi="Calibri" w:cs="Calibri"/>
                <w:sz w:val="22"/>
                <w:szCs w:val="22"/>
              </w:rPr>
              <w:t>program</w:t>
            </w:r>
            <w:r w:rsidR="028FBA8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that </w:t>
            </w:r>
            <w:r w:rsidR="414BBBE6" w:rsidRPr="2871E803">
              <w:rPr>
                <w:rFonts w:ascii="Calibri" w:eastAsia="Calibri" w:hAnsi="Calibri" w:cs="Calibri"/>
                <w:sz w:val="22"/>
                <w:szCs w:val="22"/>
              </w:rPr>
              <w:t>increases</w:t>
            </w:r>
            <w:r w:rsidR="028FBA8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602D0D76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cohesiveness </w:t>
            </w:r>
            <w:r w:rsidR="028FBA88" w:rsidRPr="2871E803">
              <w:rPr>
                <w:rFonts w:ascii="Calibri" w:eastAsia="Calibri" w:hAnsi="Calibri" w:cs="Calibri"/>
                <w:sz w:val="22"/>
                <w:szCs w:val="22"/>
              </w:rPr>
              <w:t>and effectiveness between area districts and other fire response entities</w:t>
            </w:r>
            <w:r w:rsidR="11AC3F3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at times of emergency</w:t>
            </w:r>
            <w:r w:rsidR="5934E21D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. Lastly, </w:t>
            </w:r>
            <w:r w:rsidR="5934E21D" w:rsidRPr="2871E803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this would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43E5DE2" w:rsidRPr="2871E803">
              <w:rPr>
                <w:rFonts w:ascii="Calibri" w:eastAsia="Calibri" w:hAnsi="Calibri" w:cs="Calibri"/>
                <w:sz w:val="22"/>
                <w:szCs w:val="22"/>
              </w:rPr>
              <w:t>provide access to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military surplus equipment to help </w:t>
            </w:r>
            <w:r w:rsidR="72DC9E80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bolster effective 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>respon</w:t>
            </w:r>
            <w:r w:rsidR="59C656D0" w:rsidRPr="2871E803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to these wildfires</w:t>
            </w:r>
            <w:r w:rsidR="1069D341" w:rsidRPr="2871E803">
              <w:rPr>
                <w:rFonts w:ascii="Calibri" w:eastAsia="Calibri" w:hAnsi="Calibri" w:cs="Calibri"/>
                <w:sz w:val="22"/>
                <w:szCs w:val="22"/>
              </w:rPr>
              <w:t>. These actions could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04A67E1" w:rsidRPr="2871E803">
              <w:rPr>
                <w:rFonts w:ascii="Calibri" w:eastAsia="Calibri" w:hAnsi="Calibri" w:cs="Calibri"/>
                <w:sz w:val="22"/>
                <w:szCs w:val="22"/>
              </w:rPr>
              <w:t>lessen</w:t>
            </w:r>
            <w:r w:rsidR="10D2522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the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impact to</w:t>
            </w:r>
            <w:r w:rsidR="10D2522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the</w:t>
            </w:r>
            <w:r w:rsidR="6C2E0D43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working landscape and provide a better nexus of response and protection throughout rural areas. </w:t>
            </w:r>
            <w:r w:rsidR="10D2522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These actions could increase capacity and limit negative impact to </w:t>
            </w:r>
            <w:r w:rsidR="05D40681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working lands in future fires. </w:t>
            </w:r>
          </w:p>
          <w:p w14:paraId="31CBF30F" w14:textId="1DCEC6F7" w:rsidR="00DE7397" w:rsidRPr="00471D2F" w:rsidRDefault="00DE739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2871E803"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PROPOSED RESOLUTION LANGUAGE:  </w:t>
            </w:r>
          </w:p>
          <w:p w14:paraId="7E66E3DD" w14:textId="5892B4C2" w:rsidR="00816A9F" w:rsidRPr="00E45A36" w:rsidRDefault="522F1119" w:rsidP="2871E803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We recommend that </w:t>
            </w:r>
            <w:r w:rsidR="1C4937C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work towards developing </w:t>
            </w:r>
            <w:r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Rangeland Fire Protection Associations </w:t>
            </w:r>
            <w:r w:rsidR="1C4937C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throughout rural areas </w:t>
            </w:r>
            <w:r w:rsidR="753F2DE1" w:rsidRPr="2871E803">
              <w:rPr>
                <w:rFonts w:ascii="Calibri" w:eastAsia="Calibri" w:hAnsi="Calibri" w:cs="Calibri"/>
                <w:sz w:val="22"/>
                <w:szCs w:val="22"/>
              </w:rPr>
              <w:t>where</w:t>
            </w:r>
            <w:r w:rsidR="1C4937C8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public working lands are plentifu</w:t>
            </w:r>
            <w:r w:rsidR="7734DCAC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l, intersect with private operations, </w:t>
            </w:r>
            <w:r w:rsidR="28A9F0DF" w:rsidRPr="2871E803">
              <w:rPr>
                <w:rFonts w:ascii="Calibri" w:eastAsia="Calibri" w:hAnsi="Calibri" w:cs="Calibri"/>
                <w:sz w:val="22"/>
                <w:szCs w:val="22"/>
              </w:rPr>
              <w:t>and fire response ability is low. In addition,</w:t>
            </w:r>
            <w:r w:rsidR="3EB2064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county </w:t>
            </w:r>
            <w:r w:rsidR="0C3C94C7" w:rsidRPr="2871E803">
              <w:rPr>
                <w:rFonts w:ascii="Calibri" w:eastAsia="Calibri" w:hAnsi="Calibri" w:cs="Calibri"/>
                <w:sz w:val="22"/>
                <w:szCs w:val="22"/>
              </w:rPr>
              <w:t>representatives</w:t>
            </w:r>
            <w:r w:rsidR="3EB2064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and invested stakeholders along with the</w:t>
            </w:r>
            <w:r w:rsidR="0C3C94C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public agencies in charge of managing public working lands </w:t>
            </w:r>
            <w:r w:rsidR="3EB2064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should </w:t>
            </w:r>
            <w:r w:rsidR="6FA9B8A9" w:rsidRPr="2871E803">
              <w:rPr>
                <w:rFonts w:ascii="Calibri" w:eastAsia="Calibri" w:hAnsi="Calibri" w:cs="Calibri"/>
                <w:sz w:val="22"/>
                <w:szCs w:val="22"/>
              </w:rPr>
              <w:t>convene</w:t>
            </w:r>
            <w:r w:rsidR="0C3C94C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to build area Memorandum of Agreement </w:t>
            </w:r>
            <w:r w:rsidR="3EB20642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to line out duties of response, create systems for training, and explore options for </w:t>
            </w:r>
            <w:r w:rsidR="363AA2F1" w:rsidRPr="2871E803">
              <w:rPr>
                <w:rFonts w:ascii="Calibri" w:eastAsia="Calibri" w:hAnsi="Calibri" w:cs="Calibri"/>
                <w:sz w:val="22"/>
                <w:szCs w:val="22"/>
              </w:rPr>
              <w:t>providing necessary equipment to fight rural wildland fires.</w:t>
            </w:r>
            <w:r w:rsidR="0A6D5FE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Work should also be done to denote who has operational </w:t>
            </w:r>
            <w:r w:rsidR="555B3FBE" w:rsidRPr="2871E803">
              <w:rPr>
                <w:rFonts w:ascii="Calibri" w:eastAsia="Calibri" w:hAnsi="Calibri" w:cs="Calibri"/>
                <w:sz w:val="22"/>
                <w:szCs w:val="22"/>
              </w:rPr>
              <w:t>authority</w:t>
            </w:r>
            <w:r w:rsidR="0A6D5FE7" w:rsidRPr="2871E803">
              <w:rPr>
                <w:rFonts w:ascii="Calibri" w:eastAsia="Calibri" w:hAnsi="Calibri" w:cs="Calibri"/>
                <w:sz w:val="22"/>
                <w:szCs w:val="22"/>
              </w:rPr>
              <w:t xml:space="preserve"> over public lands that do not currently have an assigned </w:t>
            </w:r>
            <w:r w:rsidR="50EE7660" w:rsidRPr="2871E803">
              <w:rPr>
                <w:rFonts w:ascii="Calibri" w:eastAsia="Calibri" w:hAnsi="Calibri" w:cs="Calibri"/>
                <w:sz w:val="22"/>
                <w:szCs w:val="22"/>
              </w:rPr>
              <w:t>land manager.</w:t>
            </w: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2871E803">
        <w:trPr>
          <w:trHeight w:val="908"/>
        </w:trPr>
        <w:tc>
          <w:tcPr>
            <w:tcW w:w="9828" w:type="dxa"/>
            <w:shd w:val="clear" w:color="auto" w:fill="auto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41BCBE1D" w:rsidR="007E0DAA" w:rsidRPr="00AE45AD" w:rsidRDefault="015093E6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2871E803">
              <w:rPr>
                <w:rFonts w:ascii="Wingdings" w:eastAsia="Wingdings" w:hAnsi="Wingdings" w:cs="Wingdings"/>
                <w:sz w:val="22"/>
                <w:szCs w:val="22"/>
              </w:rPr>
              <w:t>x</w:t>
            </w:r>
            <w:r w:rsidR="5562C39C" w:rsidRPr="2871E8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562C39C" w:rsidRPr="2871E803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5562C39C" w:rsidRPr="2871E803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 w:rsidR="4EBA38AF" w:rsidRPr="2871E803">
              <w:rPr>
                <w:rFonts w:ascii="Calibri" w:hAnsi="Calibri" w:cs="Calibri"/>
                <w:sz w:val="22"/>
                <w:szCs w:val="22"/>
              </w:rPr>
              <w:t xml:space="preserve"> Staff time to coordinate, develop, and implement this program. Staff time to find funding to prepare for and su</w:t>
            </w:r>
            <w:r w:rsidR="4C3E73BD" w:rsidRPr="2871E803">
              <w:rPr>
                <w:rFonts w:ascii="Calibri" w:hAnsi="Calibri" w:cs="Calibri"/>
                <w:sz w:val="22"/>
                <w:szCs w:val="22"/>
              </w:rPr>
              <w:t xml:space="preserve">pport these associations.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5EDD158F" w14:textId="684B9430" w:rsidR="001D0C92" w:rsidRPr="009D410A" w:rsidRDefault="004D1C85" w:rsidP="009D410A">
      <w:pPr>
        <w:rPr>
          <w:rFonts w:ascii="Calibri" w:hAnsi="Calibri" w:cs="Calibri"/>
          <w:b/>
        </w:rPr>
      </w:pPr>
      <w:r w:rsidRPr="009D410A">
        <w:rPr>
          <w:rFonts w:ascii="Calibri" w:hAnsi="Calibri" w:cs="Calibri"/>
          <w:b/>
        </w:rPr>
        <w:t xml:space="preserve">If the proposed resolution is to be adopted by NACD complete the sections below to </w:t>
      </w:r>
      <w:r w:rsidR="00B82364" w:rsidRPr="009D410A">
        <w:rPr>
          <w:rFonts w:ascii="Calibri" w:hAnsi="Calibri" w:cs="Calibri"/>
          <w:b/>
        </w:rPr>
        <w:t>the</w:t>
      </w:r>
      <w:r w:rsidRPr="009D410A">
        <w:rPr>
          <w:rFonts w:ascii="Calibri" w:hAnsi="Calibri" w:cs="Calibri"/>
          <w:b/>
        </w:rPr>
        <w:t xml:space="preserve"> best </w:t>
      </w:r>
      <w:r w:rsidR="00B82364" w:rsidRPr="009D410A">
        <w:rPr>
          <w:rFonts w:ascii="Calibri" w:hAnsi="Calibri" w:cs="Calibri"/>
          <w:b/>
        </w:rPr>
        <w:t xml:space="preserve">of your </w:t>
      </w:r>
      <w:r w:rsidRPr="009D410A">
        <w:rPr>
          <w:rFonts w:ascii="Calibri" w:hAnsi="Calibri" w:cs="Calibri"/>
          <w:b/>
        </w:rPr>
        <w:t xml:space="preserve">ability.  If the resolution is adopted at the state </w:t>
      </w:r>
      <w:r w:rsidR="00B82364" w:rsidRPr="009D410A">
        <w:rPr>
          <w:rFonts w:ascii="Calibri" w:hAnsi="Calibri" w:cs="Calibri"/>
          <w:b/>
        </w:rPr>
        <w:t>level,</w:t>
      </w:r>
      <w:r w:rsidRPr="009D410A">
        <w:rPr>
          <w:rFonts w:ascii="Calibri" w:hAnsi="Calibri" w:cs="Calibri"/>
          <w:b/>
        </w:rPr>
        <w:t xml:space="preserve"> please reach out to the NACD National Director for assistance </w:t>
      </w:r>
      <w:r w:rsidR="00855342">
        <w:rPr>
          <w:rFonts w:ascii="Calibri" w:hAnsi="Calibri" w:cs="Calibri"/>
          <w:b/>
        </w:rPr>
        <w:t xml:space="preserve">in </w:t>
      </w:r>
      <w:r w:rsidR="0046504C">
        <w:rPr>
          <w:rFonts w:ascii="Calibri" w:hAnsi="Calibri" w:cs="Calibri"/>
          <w:b/>
        </w:rPr>
        <w:t>finalizing</w:t>
      </w:r>
      <w:r w:rsidR="00855342">
        <w:rPr>
          <w:rFonts w:ascii="Calibri" w:hAnsi="Calibri" w:cs="Calibri"/>
          <w:b/>
        </w:rPr>
        <w:t xml:space="preserve"> this form</w:t>
      </w:r>
      <w:r w:rsidR="00B82364" w:rsidRPr="009D410A">
        <w:rPr>
          <w:rFonts w:ascii="Calibri" w:hAnsi="Calibri" w:cs="Calibri"/>
          <w:b/>
        </w:rPr>
        <w:t>.</w:t>
      </w:r>
      <w:r w:rsidRPr="009D410A">
        <w:rPr>
          <w:rFonts w:ascii="Calibri" w:hAnsi="Calibri" w:cs="Calibri"/>
          <w:b/>
        </w:rPr>
        <w:t xml:space="preserve"> </w:t>
      </w:r>
    </w:p>
    <w:p w14:paraId="00422638" w14:textId="77777777" w:rsidR="001D0C92" w:rsidRPr="00471D2F" w:rsidRDefault="001D0C92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lastRenderedPageBreak/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8A5B4D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BD59" w14:textId="77777777" w:rsidR="00BA6C95" w:rsidRDefault="00BA6C95" w:rsidP="008B3F9C">
      <w:r>
        <w:separator/>
      </w:r>
    </w:p>
  </w:endnote>
  <w:endnote w:type="continuationSeparator" w:id="0">
    <w:p w14:paraId="1429C7A9" w14:textId="77777777" w:rsidR="00BA6C95" w:rsidRDefault="00BA6C95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1E8F" w14:textId="77777777" w:rsidR="00BA6C95" w:rsidRDefault="00BA6C95" w:rsidP="008B3F9C">
      <w:r>
        <w:separator/>
      </w:r>
    </w:p>
  </w:footnote>
  <w:footnote w:type="continuationSeparator" w:id="0">
    <w:p w14:paraId="37A20574" w14:textId="77777777" w:rsidR="00BA6C95" w:rsidRDefault="00BA6C95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3F94"/>
    <w:rsid w:val="00047163"/>
    <w:rsid w:val="00075FD4"/>
    <w:rsid w:val="0008033A"/>
    <w:rsid w:val="000A76B3"/>
    <w:rsid w:val="000D7DF6"/>
    <w:rsid w:val="000E05F9"/>
    <w:rsid w:val="000E4251"/>
    <w:rsid w:val="00102878"/>
    <w:rsid w:val="00141D32"/>
    <w:rsid w:val="00150144"/>
    <w:rsid w:val="00152800"/>
    <w:rsid w:val="001B4602"/>
    <w:rsid w:val="001C724F"/>
    <w:rsid w:val="001D0C92"/>
    <w:rsid w:val="001F7254"/>
    <w:rsid w:val="0023718F"/>
    <w:rsid w:val="00262DB2"/>
    <w:rsid w:val="00267715"/>
    <w:rsid w:val="00272A1B"/>
    <w:rsid w:val="00274B1E"/>
    <w:rsid w:val="00296554"/>
    <w:rsid w:val="002A0B7D"/>
    <w:rsid w:val="002A4B67"/>
    <w:rsid w:val="002B5EE8"/>
    <w:rsid w:val="002C12AD"/>
    <w:rsid w:val="002D7068"/>
    <w:rsid w:val="002E564E"/>
    <w:rsid w:val="002E6E24"/>
    <w:rsid w:val="00306C84"/>
    <w:rsid w:val="003232D9"/>
    <w:rsid w:val="00327A0D"/>
    <w:rsid w:val="00332501"/>
    <w:rsid w:val="00337BDD"/>
    <w:rsid w:val="003450DA"/>
    <w:rsid w:val="0037774A"/>
    <w:rsid w:val="003818E6"/>
    <w:rsid w:val="00383978"/>
    <w:rsid w:val="00384D7E"/>
    <w:rsid w:val="003A1BB1"/>
    <w:rsid w:val="003C3D87"/>
    <w:rsid w:val="003D31BE"/>
    <w:rsid w:val="003D3ACF"/>
    <w:rsid w:val="003D4465"/>
    <w:rsid w:val="003E56FF"/>
    <w:rsid w:val="003F0896"/>
    <w:rsid w:val="00402B67"/>
    <w:rsid w:val="00402DCD"/>
    <w:rsid w:val="00405DBD"/>
    <w:rsid w:val="0041048B"/>
    <w:rsid w:val="004247E0"/>
    <w:rsid w:val="004267FE"/>
    <w:rsid w:val="00427487"/>
    <w:rsid w:val="0046504C"/>
    <w:rsid w:val="0046597B"/>
    <w:rsid w:val="00471D2F"/>
    <w:rsid w:val="00474FE2"/>
    <w:rsid w:val="004805B5"/>
    <w:rsid w:val="00496922"/>
    <w:rsid w:val="004A41F0"/>
    <w:rsid w:val="004A720F"/>
    <w:rsid w:val="004B6809"/>
    <w:rsid w:val="004B7591"/>
    <w:rsid w:val="004C1E97"/>
    <w:rsid w:val="004D1C85"/>
    <w:rsid w:val="004F3DFA"/>
    <w:rsid w:val="00533693"/>
    <w:rsid w:val="005458B7"/>
    <w:rsid w:val="00550A7D"/>
    <w:rsid w:val="00580F95"/>
    <w:rsid w:val="005965DB"/>
    <w:rsid w:val="005B18FF"/>
    <w:rsid w:val="005B4B89"/>
    <w:rsid w:val="005E31CB"/>
    <w:rsid w:val="005E435B"/>
    <w:rsid w:val="005F02C6"/>
    <w:rsid w:val="00603DD7"/>
    <w:rsid w:val="00612C35"/>
    <w:rsid w:val="00625F93"/>
    <w:rsid w:val="00634918"/>
    <w:rsid w:val="00635B63"/>
    <w:rsid w:val="00640BDF"/>
    <w:rsid w:val="00644FAC"/>
    <w:rsid w:val="00647E90"/>
    <w:rsid w:val="00672916"/>
    <w:rsid w:val="00673FC5"/>
    <w:rsid w:val="006765E0"/>
    <w:rsid w:val="00685A16"/>
    <w:rsid w:val="006865B9"/>
    <w:rsid w:val="00692943"/>
    <w:rsid w:val="006E6B99"/>
    <w:rsid w:val="00722CDF"/>
    <w:rsid w:val="00725EAA"/>
    <w:rsid w:val="00742067"/>
    <w:rsid w:val="00755416"/>
    <w:rsid w:val="00755E77"/>
    <w:rsid w:val="0077045C"/>
    <w:rsid w:val="007715C1"/>
    <w:rsid w:val="00777D24"/>
    <w:rsid w:val="00783D1F"/>
    <w:rsid w:val="007950AA"/>
    <w:rsid w:val="007A13FF"/>
    <w:rsid w:val="007C208B"/>
    <w:rsid w:val="007C6888"/>
    <w:rsid w:val="007D4FA2"/>
    <w:rsid w:val="007D6FD1"/>
    <w:rsid w:val="007E0DAA"/>
    <w:rsid w:val="007E6BDA"/>
    <w:rsid w:val="007F3769"/>
    <w:rsid w:val="00816A9F"/>
    <w:rsid w:val="008204DA"/>
    <w:rsid w:val="00824DFF"/>
    <w:rsid w:val="0083173B"/>
    <w:rsid w:val="00840F59"/>
    <w:rsid w:val="00855342"/>
    <w:rsid w:val="00872670"/>
    <w:rsid w:val="0088508A"/>
    <w:rsid w:val="008A2AB6"/>
    <w:rsid w:val="008A5B4D"/>
    <w:rsid w:val="008B3F9C"/>
    <w:rsid w:val="008B725B"/>
    <w:rsid w:val="008C04BE"/>
    <w:rsid w:val="008C2EAA"/>
    <w:rsid w:val="008C419A"/>
    <w:rsid w:val="008D0E61"/>
    <w:rsid w:val="008E07C7"/>
    <w:rsid w:val="008F5E5B"/>
    <w:rsid w:val="00911B27"/>
    <w:rsid w:val="009301A7"/>
    <w:rsid w:val="0093729C"/>
    <w:rsid w:val="00944641"/>
    <w:rsid w:val="009731BA"/>
    <w:rsid w:val="009803B8"/>
    <w:rsid w:val="00996F76"/>
    <w:rsid w:val="009B6089"/>
    <w:rsid w:val="009D410A"/>
    <w:rsid w:val="009D516D"/>
    <w:rsid w:val="009E6244"/>
    <w:rsid w:val="00A01CA6"/>
    <w:rsid w:val="00A25E7E"/>
    <w:rsid w:val="00A329AD"/>
    <w:rsid w:val="00A41002"/>
    <w:rsid w:val="00A71109"/>
    <w:rsid w:val="00A7676C"/>
    <w:rsid w:val="00A77A16"/>
    <w:rsid w:val="00AC27B1"/>
    <w:rsid w:val="00AD6137"/>
    <w:rsid w:val="00AE3B26"/>
    <w:rsid w:val="00AE45AD"/>
    <w:rsid w:val="00B017D3"/>
    <w:rsid w:val="00B102E4"/>
    <w:rsid w:val="00B807B2"/>
    <w:rsid w:val="00B82364"/>
    <w:rsid w:val="00B967C9"/>
    <w:rsid w:val="00BA6C95"/>
    <w:rsid w:val="00BE6267"/>
    <w:rsid w:val="00BF748B"/>
    <w:rsid w:val="00C06CC5"/>
    <w:rsid w:val="00C26D0E"/>
    <w:rsid w:val="00C26DBB"/>
    <w:rsid w:val="00C2709E"/>
    <w:rsid w:val="00C51DE5"/>
    <w:rsid w:val="00C578E9"/>
    <w:rsid w:val="00C66F73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B3E47"/>
    <w:rsid w:val="00DC0C50"/>
    <w:rsid w:val="00DE5A28"/>
    <w:rsid w:val="00DE7397"/>
    <w:rsid w:val="00DF08FB"/>
    <w:rsid w:val="00DF3996"/>
    <w:rsid w:val="00E1562B"/>
    <w:rsid w:val="00E23671"/>
    <w:rsid w:val="00E27395"/>
    <w:rsid w:val="00E30F83"/>
    <w:rsid w:val="00E45A36"/>
    <w:rsid w:val="00E53F61"/>
    <w:rsid w:val="00E72C97"/>
    <w:rsid w:val="00E744B4"/>
    <w:rsid w:val="00E86195"/>
    <w:rsid w:val="00EA1848"/>
    <w:rsid w:val="00EB1987"/>
    <w:rsid w:val="00EB5654"/>
    <w:rsid w:val="00ED51AC"/>
    <w:rsid w:val="00ED6C39"/>
    <w:rsid w:val="00EE3D49"/>
    <w:rsid w:val="00F11300"/>
    <w:rsid w:val="00F42B7A"/>
    <w:rsid w:val="00F6328D"/>
    <w:rsid w:val="00FA0290"/>
    <w:rsid w:val="00FA57A1"/>
    <w:rsid w:val="00FB2BEE"/>
    <w:rsid w:val="00FB5DC6"/>
    <w:rsid w:val="00FC3154"/>
    <w:rsid w:val="00FC3ECC"/>
    <w:rsid w:val="00FC5944"/>
    <w:rsid w:val="00FC6E6D"/>
    <w:rsid w:val="00FE09FB"/>
    <w:rsid w:val="00FE4BB0"/>
    <w:rsid w:val="00FE797F"/>
    <w:rsid w:val="015093E6"/>
    <w:rsid w:val="026BA6FF"/>
    <w:rsid w:val="028FBA88"/>
    <w:rsid w:val="038CE27B"/>
    <w:rsid w:val="045CD97C"/>
    <w:rsid w:val="05D40681"/>
    <w:rsid w:val="067DE620"/>
    <w:rsid w:val="06BCFF20"/>
    <w:rsid w:val="07B702A8"/>
    <w:rsid w:val="0A6D5FE7"/>
    <w:rsid w:val="0C3C94C7"/>
    <w:rsid w:val="0C3E76FC"/>
    <w:rsid w:val="0C69169E"/>
    <w:rsid w:val="0D252CFD"/>
    <w:rsid w:val="1069D341"/>
    <w:rsid w:val="10D2522C"/>
    <w:rsid w:val="11AC3F37"/>
    <w:rsid w:val="131432E0"/>
    <w:rsid w:val="14350D68"/>
    <w:rsid w:val="171B9B46"/>
    <w:rsid w:val="172EF6FB"/>
    <w:rsid w:val="189ED279"/>
    <w:rsid w:val="196C902A"/>
    <w:rsid w:val="1C4937C8"/>
    <w:rsid w:val="1C8D0179"/>
    <w:rsid w:val="205C270C"/>
    <w:rsid w:val="243E5DE2"/>
    <w:rsid w:val="24BEF5F6"/>
    <w:rsid w:val="24F0DBF5"/>
    <w:rsid w:val="26D617A2"/>
    <w:rsid w:val="2858BFA6"/>
    <w:rsid w:val="2871E803"/>
    <w:rsid w:val="28A9F0DF"/>
    <w:rsid w:val="29D60BD0"/>
    <w:rsid w:val="29E9E0F5"/>
    <w:rsid w:val="29F49007"/>
    <w:rsid w:val="2A2EFB3E"/>
    <w:rsid w:val="2DE1A737"/>
    <w:rsid w:val="2FC9FCCC"/>
    <w:rsid w:val="30BE3890"/>
    <w:rsid w:val="31C7F558"/>
    <w:rsid w:val="32078F72"/>
    <w:rsid w:val="338A3776"/>
    <w:rsid w:val="3454654B"/>
    <w:rsid w:val="358F139E"/>
    <w:rsid w:val="363AA2F1"/>
    <w:rsid w:val="366EB6D6"/>
    <w:rsid w:val="36A09CD2"/>
    <w:rsid w:val="36DB0095"/>
    <w:rsid w:val="36EEC873"/>
    <w:rsid w:val="36F5211E"/>
    <w:rsid w:val="385DA899"/>
    <w:rsid w:val="3AE30412"/>
    <w:rsid w:val="3BAE71B8"/>
    <w:rsid w:val="3C47DEEC"/>
    <w:rsid w:val="3D3F9307"/>
    <w:rsid w:val="3EB20642"/>
    <w:rsid w:val="414BBBE6"/>
    <w:rsid w:val="41DD3099"/>
    <w:rsid w:val="4235B5AC"/>
    <w:rsid w:val="48265308"/>
    <w:rsid w:val="494325F4"/>
    <w:rsid w:val="497103B8"/>
    <w:rsid w:val="49EC771F"/>
    <w:rsid w:val="4A178A4A"/>
    <w:rsid w:val="4A3E6417"/>
    <w:rsid w:val="4C3E73BD"/>
    <w:rsid w:val="4D507FF6"/>
    <w:rsid w:val="4E3B0079"/>
    <w:rsid w:val="4EBA38AF"/>
    <w:rsid w:val="4EEAFB6D"/>
    <w:rsid w:val="4F6D45C8"/>
    <w:rsid w:val="50EE7660"/>
    <w:rsid w:val="522F1119"/>
    <w:rsid w:val="52A7AD87"/>
    <w:rsid w:val="549119A0"/>
    <w:rsid w:val="555B3FBE"/>
    <w:rsid w:val="5562C39C"/>
    <w:rsid w:val="56244F65"/>
    <w:rsid w:val="58027C31"/>
    <w:rsid w:val="588A11C9"/>
    <w:rsid w:val="5892B362"/>
    <w:rsid w:val="5934E21D"/>
    <w:rsid w:val="597DB320"/>
    <w:rsid w:val="59C656D0"/>
    <w:rsid w:val="59F76FA6"/>
    <w:rsid w:val="5B0ED46F"/>
    <w:rsid w:val="5B198381"/>
    <w:rsid w:val="5EF65E98"/>
    <w:rsid w:val="5FC91D35"/>
    <w:rsid w:val="602D0D76"/>
    <w:rsid w:val="613977E7"/>
    <w:rsid w:val="6305B85D"/>
    <w:rsid w:val="6442F7FB"/>
    <w:rsid w:val="65E7DA1B"/>
    <w:rsid w:val="6687E684"/>
    <w:rsid w:val="66CB8F87"/>
    <w:rsid w:val="66E48BC7"/>
    <w:rsid w:val="6C0A41E1"/>
    <w:rsid w:val="6C2E0D43"/>
    <w:rsid w:val="6E1745DF"/>
    <w:rsid w:val="6F2C3DB9"/>
    <w:rsid w:val="6FA9B8A9"/>
    <w:rsid w:val="704A67E1"/>
    <w:rsid w:val="72D56E22"/>
    <w:rsid w:val="72DC9E80"/>
    <w:rsid w:val="741BA72F"/>
    <w:rsid w:val="74534B4F"/>
    <w:rsid w:val="753F2DE1"/>
    <w:rsid w:val="7553BB1D"/>
    <w:rsid w:val="75B12427"/>
    <w:rsid w:val="765C95A6"/>
    <w:rsid w:val="771547F4"/>
    <w:rsid w:val="7734DCAC"/>
    <w:rsid w:val="7A4CE8B6"/>
    <w:rsid w:val="7F5FF3F3"/>
    <w:rsid w:val="7F6F9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2023-10-23T15:50:00Z</dcterms:created>
  <dcterms:modified xsi:type="dcterms:W3CDTF">2023-10-23T15:50:00Z</dcterms:modified>
</cp:coreProperties>
</file>